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BD10" w14:textId="677F2488" w:rsidR="003B5C7B" w:rsidRDefault="003B5C7B" w:rsidP="003B5C7B">
      <w:pPr>
        <w:spacing w:before="240"/>
        <w:ind w:right="-3"/>
        <w:jc w:val="both"/>
        <w:rPr>
          <w:rFonts w:ascii="Arial" w:hAnsi="Arial" w:cs="Arial"/>
          <w:b/>
          <w:sz w:val="20"/>
          <w:szCs w:val="20"/>
          <w:lang w:eastAsia="x-none"/>
        </w:rPr>
      </w:pPr>
      <w:r w:rsidRPr="003B5C7B">
        <w:rPr>
          <w:rFonts w:ascii="Arial" w:hAnsi="Arial" w:cs="Arial"/>
          <w:b/>
          <w:sz w:val="20"/>
          <w:szCs w:val="20"/>
          <w:lang w:eastAsia="x-none"/>
        </w:rPr>
        <w:t>ALLEGATO “ULTERIORI DICHIARAZIONI”</w:t>
      </w:r>
    </w:p>
    <w:p w14:paraId="2FC5ACE2" w14:textId="77777777" w:rsidR="008C31D8" w:rsidRPr="008C31D8" w:rsidRDefault="008C31D8" w:rsidP="008C31D8">
      <w:pPr>
        <w:suppressAutoHyphens/>
        <w:overflowPunct w:val="0"/>
        <w:autoSpaceDE w:val="0"/>
        <w:autoSpaceDN w:val="0"/>
        <w:adjustRightInd w:val="0"/>
        <w:spacing w:before="120"/>
        <w:ind w:right="283"/>
        <w:jc w:val="both"/>
        <w:textAlignment w:val="baseline"/>
        <w:rPr>
          <w:rFonts w:ascii="Arial" w:hAnsi="Arial" w:cs="Arial"/>
          <w:bCs/>
          <w:sz w:val="20"/>
          <w:szCs w:val="20"/>
        </w:rPr>
      </w:pPr>
      <w:r w:rsidRPr="008C31D8">
        <w:rPr>
          <w:rFonts w:ascii="Arial" w:hAnsi="Arial" w:cs="Arial"/>
          <w:bCs/>
          <w:sz w:val="20"/>
          <w:szCs w:val="20"/>
        </w:rPr>
        <w:t>Il sottoscritto è consapevole delle conseguenze di una grave falsa dichiarazione, ai sensi dell’articolo 76 del DPR 445/2000.</w:t>
      </w:r>
    </w:p>
    <w:p w14:paraId="4D861F69" w14:textId="77777777" w:rsidR="008C31D8" w:rsidRPr="008C31D8" w:rsidRDefault="008C31D8" w:rsidP="008C31D8">
      <w:pPr>
        <w:suppressAutoHyphens/>
        <w:overflowPunct w:val="0"/>
        <w:autoSpaceDE w:val="0"/>
        <w:autoSpaceDN w:val="0"/>
        <w:adjustRightInd w:val="0"/>
        <w:spacing w:before="120"/>
        <w:ind w:right="283"/>
        <w:jc w:val="both"/>
        <w:textAlignment w:val="baseline"/>
        <w:rPr>
          <w:rFonts w:ascii="Arial" w:hAnsi="Arial" w:cs="Arial"/>
          <w:bCs/>
          <w:sz w:val="20"/>
          <w:szCs w:val="20"/>
        </w:rPr>
      </w:pPr>
      <w:r w:rsidRPr="008C31D8">
        <w:rPr>
          <w:rFonts w:ascii="Arial" w:hAnsi="Arial" w:cs="Arial"/>
          <w:bCs/>
          <w:sz w:val="20"/>
          <w:szCs w:val="20"/>
        </w:rPr>
        <w:t>Inoltre, dichiara:</w:t>
      </w:r>
    </w:p>
    <w:p w14:paraId="755E1112" w14:textId="77777777" w:rsidR="003B5C7B" w:rsidRDefault="003B5C7B" w:rsidP="003B5C7B">
      <w:pPr>
        <w:suppressAutoHyphens/>
        <w:overflowPunct w:val="0"/>
        <w:autoSpaceDE w:val="0"/>
        <w:autoSpaceDN w:val="0"/>
        <w:adjustRightInd w:val="0"/>
        <w:ind w:right="-3"/>
        <w:jc w:val="both"/>
        <w:textAlignment w:val="baseline"/>
        <w:rPr>
          <w:rFonts w:ascii="Arial" w:hAnsi="Arial" w:cs="Arial"/>
          <w:bCs/>
          <w:sz w:val="22"/>
          <w:szCs w:val="22"/>
        </w:rPr>
      </w:pPr>
    </w:p>
    <w:p w14:paraId="2C35571F" w14:textId="1433612D"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a) l’insussistenza delle cause di esclusione alla partecipazione alle gare di cui all’art. 80 del D.Lgs. n. 50/2016 e all’art. 5, comma 2, lett. c) della L.386/1990 e ss.mm nonché l’insussistenza delle situazioni di cui all’art. 53, comma 16-ter del D.Lgs. 165/2001 nei confronti del Comune di Bergamo;</w:t>
      </w:r>
    </w:p>
    <w:p w14:paraId="155BFFA7"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b) il possesso dei requisiti di cui agli articoli 2 e 3 dal Decreto 2 dicembre 2016 n. 263 del Ministro delle Infrastrutture e dei Trasporti rispettivamente in caso di società di professionisti e di società di ingegneria, ovvero il possesso dei requisiti di cui all’art. 5 del D.M. 263/2016 per il caso di consorzi stabili di società di professionisti;</w:t>
      </w:r>
    </w:p>
    <w:p w14:paraId="056B76C6"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c) la regolarità con il versamento dei contributi agli istituti previdenziali e assicurativi e con l’assolvimento degli obblighi tributari;</w:t>
      </w:r>
    </w:p>
    <w:p w14:paraId="06B839E3"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d) l’adempimento, all’interno della propria organizzazione, degli obblighi di sicurezza previsti dalla vigente normativa;</w:t>
      </w:r>
    </w:p>
    <w:p w14:paraId="64917688"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e) l’insussistenza di provvedimenti disciplinari o di altro genere che inibiscano l’esercizio dell’attività professionale;</w:t>
      </w:r>
    </w:p>
    <w:p w14:paraId="3B7D1AAB"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 xml:space="preserve">f) di assumere l’obbligo ad eseguire il servizio al prezzo proposto nell’offerta economica e alle condizioni tutte del </w:t>
      </w:r>
      <w:r>
        <w:rPr>
          <w:rFonts w:ascii="Arial" w:hAnsi="Arial" w:cs="Arial"/>
          <w:bCs/>
          <w:sz w:val="20"/>
          <w:szCs w:val="20"/>
          <w:lang w:eastAsia="x-none"/>
        </w:rPr>
        <w:t>DPP</w:t>
      </w:r>
      <w:r w:rsidRPr="0068182D">
        <w:rPr>
          <w:rFonts w:ascii="Arial" w:hAnsi="Arial" w:cs="Arial"/>
          <w:bCs/>
          <w:sz w:val="20"/>
          <w:szCs w:val="20"/>
          <w:lang w:val="x-none" w:eastAsia="x-none"/>
        </w:rPr>
        <w:t xml:space="preserve"> avendo valutato nella determinazione del prezzo tutti gli oneri da sostenere per assicurare una regolare e puntuale esecuzione del servizio;</w:t>
      </w:r>
    </w:p>
    <w:p w14:paraId="4974F51A" w14:textId="77777777" w:rsidR="003B5C7B" w:rsidRPr="0068182D" w:rsidRDefault="003B5C7B" w:rsidP="003B5C7B">
      <w:pPr>
        <w:spacing w:before="240"/>
        <w:ind w:right="-3"/>
        <w:jc w:val="both"/>
        <w:rPr>
          <w:rFonts w:ascii="Arial" w:hAnsi="Arial" w:cs="Arial"/>
          <w:bCs/>
          <w:sz w:val="20"/>
          <w:szCs w:val="20"/>
          <w:lang w:val="x-none" w:eastAsia="x-none"/>
        </w:rPr>
      </w:pPr>
      <w:r w:rsidRPr="0068182D">
        <w:rPr>
          <w:rFonts w:ascii="Arial" w:hAnsi="Arial" w:cs="Arial"/>
          <w:bCs/>
          <w:sz w:val="20"/>
          <w:szCs w:val="20"/>
          <w:lang w:val="x-none" w:eastAsia="x-none"/>
        </w:rPr>
        <w:t>g) quali informazioni voler espressamente escludere dal diritto di accesso ai sensi dell’art. 53, del D.Lgs. 50/2016, indicandone la motivazione. In caso di diniego è necessario specificare le parti (precisando il capitolo e le pagine dell’offerta cui si riferisce l’interdizione) che si intendono coperte da segreto tecnico o commerciale;</w:t>
      </w:r>
    </w:p>
    <w:p w14:paraId="26EBBE43" w14:textId="77777777" w:rsidR="003B5C7B" w:rsidRPr="0068182D" w:rsidRDefault="003B5C7B" w:rsidP="003B5C7B">
      <w:pPr>
        <w:spacing w:before="240"/>
        <w:ind w:right="-3"/>
        <w:jc w:val="both"/>
        <w:rPr>
          <w:rFonts w:ascii="Arial" w:hAnsi="Arial" w:cs="Arial"/>
          <w:bCs/>
          <w:sz w:val="20"/>
          <w:szCs w:val="20"/>
          <w:lang w:val="x-none" w:eastAsia="x-none"/>
        </w:rPr>
      </w:pPr>
      <w:r>
        <w:rPr>
          <w:rFonts w:ascii="Arial" w:hAnsi="Arial" w:cs="Arial"/>
          <w:bCs/>
          <w:sz w:val="20"/>
          <w:szCs w:val="20"/>
          <w:lang w:eastAsia="x-none"/>
        </w:rPr>
        <w:t>h</w:t>
      </w:r>
      <w:r w:rsidRPr="0068182D">
        <w:rPr>
          <w:rFonts w:ascii="Arial" w:hAnsi="Arial" w:cs="Arial"/>
          <w:bCs/>
          <w:sz w:val="20"/>
          <w:szCs w:val="20"/>
          <w:lang w:val="x-none" w:eastAsia="x-none"/>
        </w:rPr>
        <w:t>)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w:t>
      </w:r>
    </w:p>
    <w:p w14:paraId="3CEEE5AF" w14:textId="77777777" w:rsidR="003B5C7B" w:rsidRPr="0068182D" w:rsidRDefault="003B5C7B" w:rsidP="003B5C7B">
      <w:pPr>
        <w:spacing w:before="240"/>
        <w:ind w:right="-3"/>
        <w:jc w:val="both"/>
        <w:rPr>
          <w:rFonts w:ascii="Arial" w:hAnsi="Arial" w:cs="Arial"/>
          <w:bCs/>
          <w:sz w:val="20"/>
          <w:szCs w:val="20"/>
          <w:lang w:val="x-none" w:eastAsia="x-none"/>
        </w:rPr>
      </w:pPr>
      <w:r>
        <w:rPr>
          <w:rFonts w:ascii="Arial" w:hAnsi="Arial" w:cs="Arial"/>
          <w:bCs/>
          <w:sz w:val="20"/>
          <w:szCs w:val="20"/>
          <w:lang w:eastAsia="x-none"/>
        </w:rPr>
        <w:t>i</w:t>
      </w:r>
      <w:r w:rsidRPr="0068182D">
        <w:rPr>
          <w:rFonts w:ascii="Arial" w:hAnsi="Arial" w:cs="Arial"/>
          <w:bCs/>
          <w:sz w:val="20"/>
          <w:szCs w:val="20"/>
          <w:lang w:val="x-none" w:eastAsia="x-none"/>
        </w:rPr>
        <w:t>) di essere consapevole che l’Amministrazione comunale appaltante effettuerà le comunicazioni di cui all’art. 76 del D. Lgs. 50/2016 s.m.i, tramite il canale “Comunicazioni di procedura” della piattaforma Sintel all’indirizzo di posta elettronica indicato in fase di registrazione;</w:t>
      </w:r>
    </w:p>
    <w:p w14:paraId="33EE4025" w14:textId="77777777" w:rsidR="003B5C7B" w:rsidRPr="0068182D" w:rsidRDefault="003B5C7B" w:rsidP="003B5C7B">
      <w:pPr>
        <w:spacing w:before="240"/>
        <w:ind w:right="-3"/>
        <w:jc w:val="both"/>
        <w:rPr>
          <w:rFonts w:ascii="Arial" w:hAnsi="Arial" w:cs="Arial"/>
          <w:bCs/>
          <w:sz w:val="20"/>
          <w:szCs w:val="20"/>
          <w:lang w:val="x-none" w:eastAsia="x-none"/>
        </w:rPr>
      </w:pPr>
      <w:r>
        <w:rPr>
          <w:rFonts w:ascii="Arial" w:hAnsi="Arial" w:cs="Arial"/>
          <w:bCs/>
          <w:sz w:val="20"/>
          <w:szCs w:val="20"/>
          <w:lang w:eastAsia="x-none"/>
        </w:rPr>
        <w:t>l</w:t>
      </w:r>
      <w:r w:rsidRPr="0068182D">
        <w:rPr>
          <w:rFonts w:ascii="Arial" w:hAnsi="Arial" w:cs="Arial"/>
          <w:bCs/>
          <w:sz w:val="20"/>
          <w:szCs w:val="20"/>
          <w:lang w:val="x-none" w:eastAsia="x-none"/>
        </w:rPr>
        <w:t>) che quanto espresso è vero e documentabile su richiesta delle amministrazioni competenti ovvero è accertabile, per le dichiarazioni sostitutive di certificazione, ai sensi dell’art. 43 del citato D.P.R. n. 445 del 2000;</w:t>
      </w:r>
    </w:p>
    <w:p w14:paraId="561F8F8D" w14:textId="77777777" w:rsidR="003B5C7B" w:rsidRPr="0068182D" w:rsidRDefault="003B5C7B" w:rsidP="003B5C7B">
      <w:pPr>
        <w:spacing w:before="240"/>
        <w:ind w:right="-3"/>
        <w:jc w:val="both"/>
        <w:rPr>
          <w:rFonts w:ascii="Arial" w:hAnsi="Arial" w:cs="Arial"/>
          <w:bCs/>
          <w:sz w:val="20"/>
          <w:szCs w:val="20"/>
          <w:lang w:val="x-none" w:eastAsia="x-none"/>
        </w:rPr>
      </w:pPr>
      <w:r>
        <w:rPr>
          <w:rFonts w:ascii="Arial" w:hAnsi="Arial" w:cs="Arial"/>
          <w:bCs/>
          <w:sz w:val="20"/>
          <w:szCs w:val="20"/>
          <w:lang w:eastAsia="x-none"/>
        </w:rPr>
        <w:t>m)</w:t>
      </w:r>
      <w:r w:rsidRPr="0068182D">
        <w:rPr>
          <w:rFonts w:ascii="Arial" w:hAnsi="Arial" w:cs="Arial"/>
          <w:bCs/>
          <w:sz w:val="20"/>
          <w:szCs w:val="20"/>
          <w:lang w:val="x-none" w:eastAsia="x-none"/>
        </w:rPr>
        <w:t xml:space="preserve"> di essere a conoscenza che sui dati dichiarati potranno essere effettuati controlli ai sensi dell’art. 71 del D.P.R. n. 445 del 2000.</w:t>
      </w:r>
    </w:p>
    <w:p w14:paraId="13D2F256" w14:textId="77777777" w:rsidR="003B5C7B" w:rsidRPr="008D2893" w:rsidRDefault="003B5C7B" w:rsidP="003B5C7B">
      <w:pPr>
        <w:spacing w:before="240"/>
        <w:ind w:right="-3"/>
        <w:jc w:val="both"/>
        <w:rPr>
          <w:rFonts w:ascii="Arial" w:hAnsi="Arial" w:cs="Arial"/>
          <w:bCs/>
          <w:sz w:val="20"/>
          <w:szCs w:val="20"/>
          <w:lang w:val="x-none" w:eastAsia="x-none"/>
        </w:rPr>
      </w:pPr>
      <w:r>
        <w:rPr>
          <w:rFonts w:ascii="Arial" w:hAnsi="Arial" w:cs="Arial"/>
          <w:bCs/>
          <w:sz w:val="20"/>
          <w:szCs w:val="20"/>
          <w:lang w:eastAsia="x-none"/>
        </w:rPr>
        <w:t>n</w:t>
      </w:r>
      <w:r w:rsidRPr="0068182D">
        <w:rPr>
          <w:rFonts w:ascii="Arial" w:hAnsi="Arial" w:cs="Arial"/>
          <w:bCs/>
          <w:sz w:val="20"/>
          <w:szCs w:val="20"/>
          <w:lang w:val="x-none" w:eastAsia="x-none"/>
        </w:rPr>
        <w:t xml:space="preserve">) di aver eseguito il sopralluogo e di aver esaminato tutti gli elaborati progettuali, di avere preso conoscenza delle condizioni locali, della viabilità di accesso, di avere verificato le capacità e le disponibilità, compatibili con i tempi di esecuzione previsti nonché di tutte le circostanze generali e particolari suscettibili di influire sulla determinazione dei prezzi, sulle condizioni contrattuali e sull’esecuzione dei lavori e di avere giudicato i </w:t>
      </w:r>
      <w:r w:rsidRPr="008D2893">
        <w:rPr>
          <w:rFonts w:ascii="Arial" w:hAnsi="Arial" w:cs="Arial"/>
          <w:bCs/>
          <w:sz w:val="20"/>
          <w:szCs w:val="20"/>
          <w:lang w:val="x-none" w:eastAsia="x-none"/>
        </w:rPr>
        <w:t>servizi stessi realizzabili, gli elaborati progettuali adeguati ed i prezzi nel loro complesso remunerativi e tali da consentire il ribasso offerto;</w:t>
      </w:r>
    </w:p>
    <w:p w14:paraId="1EA7861D" w14:textId="77777777" w:rsidR="003B5C7B" w:rsidRPr="00CD11DB" w:rsidRDefault="003B5C7B" w:rsidP="003B5C7B">
      <w:pPr>
        <w:spacing w:before="240" w:after="240"/>
        <w:ind w:right="-3"/>
        <w:jc w:val="both"/>
        <w:rPr>
          <w:rFonts w:ascii="Arial" w:hAnsi="Arial" w:cs="Arial"/>
          <w:bCs/>
          <w:sz w:val="20"/>
          <w:szCs w:val="20"/>
          <w:lang w:eastAsia="x-none"/>
        </w:rPr>
      </w:pPr>
      <w:r w:rsidRPr="008D2893">
        <w:rPr>
          <w:rFonts w:ascii="Arial" w:hAnsi="Arial" w:cs="Arial"/>
          <w:bCs/>
          <w:sz w:val="20"/>
          <w:szCs w:val="20"/>
          <w:lang w:eastAsia="x-none"/>
        </w:rPr>
        <w:t>o) d</w:t>
      </w:r>
      <w:r w:rsidRPr="008D2893">
        <w:rPr>
          <w:rFonts w:ascii="Arial" w:hAnsi="Arial" w:cs="Arial"/>
          <w:bCs/>
          <w:sz w:val="20"/>
          <w:szCs w:val="20"/>
          <w:lang w:val="x-none" w:eastAsia="x-none"/>
        </w:rPr>
        <w:t xml:space="preserve">i essere consapevole che i lavori della categoria prevalente E.22 dovranno essere posseduti dalla capogruppo mandataria nominata o designata in misura maggioritaria </w:t>
      </w:r>
      <w:r>
        <w:rPr>
          <w:rFonts w:ascii="Arial" w:hAnsi="Arial" w:cs="Arial"/>
          <w:bCs/>
          <w:sz w:val="20"/>
          <w:szCs w:val="20"/>
          <w:lang w:eastAsia="x-none"/>
        </w:rPr>
        <w:t>rispetto alle</w:t>
      </w:r>
      <w:r w:rsidRPr="008D2893">
        <w:rPr>
          <w:rFonts w:ascii="Arial" w:hAnsi="Arial" w:cs="Arial"/>
          <w:bCs/>
          <w:sz w:val="20"/>
          <w:szCs w:val="20"/>
          <w:lang w:val="x-none" w:eastAsia="x-none"/>
        </w:rPr>
        <w:t xml:space="preserve"> mandanti nel loro complesso</w:t>
      </w:r>
    </w:p>
    <w:p w14:paraId="1BD0DB35" w14:textId="77777777" w:rsidR="003B5C7B" w:rsidRPr="008D2893" w:rsidRDefault="003B5C7B" w:rsidP="003B5C7B">
      <w:pPr>
        <w:autoSpaceDE w:val="0"/>
        <w:autoSpaceDN w:val="0"/>
        <w:adjustRightInd w:val="0"/>
        <w:spacing w:after="240"/>
        <w:jc w:val="both"/>
        <w:rPr>
          <w:rFonts w:ascii="Arial" w:hAnsi="Arial" w:cs="Arial"/>
          <w:bCs/>
          <w:sz w:val="20"/>
          <w:szCs w:val="20"/>
          <w:lang w:eastAsia="x-none"/>
        </w:rPr>
      </w:pPr>
      <w:r w:rsidRPr="008D2893">
        <w:rPr>
          <w:rFonts w:ascii="Arial" w:hAnsi="Arial" w:cs="Arial"/>
          <w:bCs/>
          <w:sz w:val="20"/>
          <w:szCs w:val="20"/>
          <w:lang w:eastAsia="x-none"/>
        </w:rPr>
        <w:lastRenderedPageBreak/>
        <w:t>p) di essere a conoscenza che l’aggiudicatario dovrà costituire, prima della firma del contratto, la cauzione definitiva ed essere in possesso</w:t>
      </w:r>
      <w:r w:rsidRPr="008D2893">
        <w:rPr>
          <w:rFonts w:ascii="Arial" w:hAnsi="Arial" w:cs="Arial"/>
          <w:color w:val="222222"/>
          <w:sz w:val="20"/>
          <w:szCs w:val="20"/>
          <w:shd w:val="clear" w:color="auto" w:fill="FFFFFF"/>
        </w:rPr>
        <w:t xml:space="preserve"> di una polizza di responsabilità civile professionale di cui all’art. 11 del presente disciplinare</w:t>
      </w:r>
    </w:p>
    <w:p w14:paraId="36763D79" w14:textId="77777777" w:rsidR="003B5C7B" w:rsidRDefault="003B5C7B" w:rsidP="003B5C7B">
      <w:pPr>
        <w:spacing w:before="240"/>
        <w:ind w:right="-3"/>
        <w:jc w:val="both"/>
        <w:rPr>
          <w:rFonts w:ascii="Arial" w:hAnsi="Arial" w:cs="Arial"/>
          <w:bCs/>
          <w:sz w:val="20"/>
          <w:szCs w:val="20"/>
          <w:lang w:eastAsia="x-none"/>
        </w:rPr>
      </w:pPr>
      <w:r w:rsidRPr="008D2893">
        <w:rPr>
          <w:rFonts w:ascii="Arial" w:hAnsi="Arial" w:cs="Arial"/>
          <w:bCs/>
          <w:sz w:val="20"/>
          <w:szCs w:val="20"/>
          <w:lang w:eastAsia="x-none"/>
        </w:rPr>
        <w:t>q) dichiara di aver assolto</w:t>
      </w:r>
      <w:r>
        <w:rPr>
          <w:rFonts w:ascii="Arial" w:hAnsi="Arial" w:cs="Arial"/>
          <w:bCs/>
          <w:sz w:val="20"/>
          <w:szCs w:val="20"/>
          <w:lang w:eastAsia="x-none"/>
        </w:rPr>
        <w:t xml:space="preserve"> a</w:t>
      </w:r>
      <w:r w:rsidRPr="008D2893">
        <w:rPr>
          <w:rFonts w:ascii="Arial" w:hAnsi="Arial" w:cs="Arial"/>
          <w:bCs/>
          <w:sz w:val="20"/>
          <w:szCs w:val="20"/>
          <w:lang w:eastAsia="x-none"/>
        </w:rPr>
        <w:t>gli obblighi di cui alla legge 12 marzo 1999 n. 68 e di impegnarsi, in caso di aggiudicazione del contratto, una quota pari almeno al 30 per cento delle assunzioni necessarie per l’esecuzione del contratto o per la realizzazione di attività ad esso connesse o strumentali, sia all’occupazione giovanile (età inferiore a 36 anni) sia all’occupazione femminile in quanto gli interventi sono</w:t>
      </w:r>
      <w:r>
        <w:rPr>
          <w:rFonts w:ascii="Arial" w:hAnsi="Arial" w:cs="Arial"/>
          <w:bCs/>
          <w:sz w:val="20"/>
          <w:szCs w:val="20"/>
          <w:lang w:eastAsia="x-none"/>
        </w:rPr>
        <w:t xml:space="preserve"> in ambito di PNRR e PNC</w:t>
      </w:r>
    </w:p>
    <w:p w14:paraId="71210DCA" w14:textId="77777777" w:rsidR="003B5C7B" w:rsidRPr="002B5989" w:rsidRDefault="003B5C7B" w:rsidP="003B5C7B">
      <w:pPr>
        <w:spacing w:before="240"/>
        <w:ind w:right="-3"/>
        <w:jc w:val="both"/>
        <w:rPr>
          <w:rFonts w:ascii="Roboto" w:hAnsi="Roboto"/>
          <w:color w:val="202124"/>
          <w:sz w:val="20"/>
          <w:szCs w:val="20"/>
          <w:shd w:val="clear" w:color="auto" w:fill="FFFFFF"/>
        </w:rPr>
      </w:pPr>
      <w:r>
        <w:rPr>
          <w:rFonts w:ascii="Arial" w:hAnsi="Arial" w:cs="Arial"/>
          <w:bCs/>
          <w:sz w:val="20"/>
          <w:szCs w:val="20"/>
          <w:lang w:eastAsia="x-none"/>
        </w:rPr>
        <w:t xml:space="preserve">r)  </w:t>
      </w:r>
      <w:r w:rsidRPr="00F42866">
        <w:rPr>
          <w:rFonts w:ascii="Arial" w:hAnsi="Arial" w:cs="Arial"/>
          <w:bCs/>
          <w:sz w:val="20"/>
          <w:szCs w:val="20"/>
          <w:u w:val="single"/>
          <w:lang w:eastAsia="x-none"/>
        </w:rPr>
        <w:t>Solo per società di ingegneria ovvero società di professionisti di cui all’art. 46 comma 1 lettera b) o c):</w:t>
      </w:r>
      <w:r w:rsidRPr="00EC58D5">
        <w:rPr>
          <w:rFonts w:ascii="Arial" w:hAnsi="Arial" w:cs="Arial"/>
          <w:bCs/>
          <w:sz w:val="20"/>
          <w:szCs w:val="20"/>
          <w:lang w:eastAsia="x-none"/>
        </w:rPr>
        <w:br/>
      </w:r>
      <w:sdt>
        <w:sdtPr>
          <w:rPr>
            <w:rFonts w:ascii="Arial" w:hAnsi="Arial" w:cs="Arial"/>
            <w:bCs/>
            <w:sz w:val="20"/>
            <w:szCs w:val="20"/>
            <w:lang w:eastAsia="x-none"/>
          </w:rPr>
          <w:id w:val="-2097164525"/>
          <w14:checkbox>
            <w14:checked w14:val="0"/>
            <w14:checkedState w14:val="2612" w14:font="MS Gothic"/>
            <w14:uncheckedState w14:val="2610" w14:font="MS Gothic"/>
          </w14:checkbox>
        </w:sdtPr>
        <w:sdtContent>
          <w:r>
            <w:rPr>
              <w:rFonts w:ascii="MS Gothic" w:eastAsia="MS Gothic" w:hAnsi="MS Gothic" w:cs="Arial" w:hint="eastAsia"/>
              <w:bCs/>
              <w:sz w:val="20"/>
              <w:szCs w:val="20"/>
              <w:lang w:eastAsia="x-none"/>
            </w:rPr>
            <w:t>☐</w:t>
          </w:r>
        </w:sdtContent>
      </w:sdt>
      <w:r>
        <w:rPr>
          <w:rFonts w:ascii="Arial" w:hAnsi="Arial" w:cs="Arial"/>
          <w:bCs/>
          <w:sz w:val="20"/>
          <w:szCs w:val="20"/>
          <w:lang w:eastAsia="x-none"/>
        </w:rPr>
        <w:t xml:space="preserve"> </w:t>
      </w:r>
      <w:r w:rsidRPr="002B5989">
        <w:rPr>
          <w:rFonts w:ascii="Arial" w:hAnsi="Arial" w:cs="Arial"/>
          <w:bCs/>
          <w:sz w:val="20"/>
          <w:szCs w:val="20"/>
          <w:lang w:eastAsia="x-none"/>
        </w:rPr>
        <w:t xml:space="preserve">dichiara </w:t>
      </w:r>
      <w:r w:rsidRPr="002B5989">
        <w:rPr>
          <w:rFonts w:ascii="Roboto" w:hAnsi="Roboto"/>
          <w:color w:val="202124"/>
          <w:sz w:val="20"/>
          <w:szCs w:val="20"/>
          <w:shd w:val="clear" w:color="auto" w:fill="FFFFFF"/>
        </w:rPr>
        <w:t xml:space="preserve">che l’organigramma aggiornato di cui all’art. 3 è riscontrabile sul casellario delle società di ingegneria e professionali dell’ANAC </w:t>
      </w:r>
    </w:p>
    <w:p w14:paraId="1C1AFF7D" w14:textId="77777777" w:rsidR="003B5C7B" w:rsidRPr="002B5989" w:rsidRDefault="003B5C7B" w:rsidP="003B5C7B">
      <w:pPr>
        <w:ind w:right="-3"/>
        <w:jc w:val="both"/>
        <w:rPr>
          <w:rFonts w:ascii="Roboto" w:hAnsi="Roboto"/>
          <w:color w:val="202124"/>
          <w:sz w:val="20"/>
          <w:szCs w:val="20"/>
          <w:shd w:val="clear" w:color="auto" w:fill="FFFFFF"/>
        </w:rPr>
      </w:pPr>
      <w:r w:rsidRPr="002B5989">
        <w:rPr>
          <w:rFonts w:ascii="Roboto" w:hAnsi="Roboto"/>
          <w:b/>
          <w:bCs/>
          <w:color w:val="202124"/>
          <w:sz w:val="20"/>
          <w:szCs w:val="20"/>
          <w:shd w:val="clear" w:color="auto" w:fill="FFFFFF"/>
        </w:rPr>
        <w:t>oppure</w:t>
      </w:r>
      <w:r w:rsidRPr="002B5989">
        <w:rPr>
          <w:rFonts w:ascii="Roboto" w:hAnsi="Roboto"/>
          <w:color w:val="202124"/>
          <w:sz w:val="20"/>
          <w:szCs w:val="20"/>
          <w:shd w:val="clear" w:color="auto" w:fill="FFFFFF"/>
        </w:rPr>
        <w:t xml:space="preserve"> </w:t>
      </w:r>
    </w:p>
    <w:p w14:paraId="52C810B0" w14:textId="32196AC1" w:rsidR="003B5C7B" w:rsidRDefault="003B5C7B" w:rsidP="003B5C7B">
      <w:pPr>
        <w:ind w:right="-3"/>
        <w:jc w:val="both"/>
        <w:rPr>
          <w:rFonts w:ascii="Roboto" w:hAnsi="Roboto"/>
          <w:color w:val="202124"/>
          <w:sz w:val="20"/>
          <w:szCs w:val="20"/>
          <w:shd w:val="clear" w:color="auto" w:fill="FFFFFF"/>
        </w:rPr>
      </w:pPr>
      <w:sdt>
        <w:sdtPr>
          <w:rPr>
            <w:rFonts w:ascii="Roboto" w:hAnsi="Roboto"/>
            <w:color w:val="202124"/>
            <w:sz w:val="20"/>
            <w:szCs w:val="20"/>
            <w:shd w:val="clear" w:color="auto" w:fill="FFFFFF"/>
          </w:rPr>
          <w:id w:val="-1850470377"/>
          <w14:checkbox>
            <w14:checked w14:val="0"/>
            <w14:checkedState w14:val="2612" w14:font="MS Gothic"/>
            <w14:uncheckedState w14:val="2610" w14:font="MS Gothic"/>
          </w14:checkbox>
        </w:sdtPr>
        <w:sdtContent>
          <w:r>
            <w:rPr>
              <w:rFonts w:ascii="MS Gothic" w:eastAsia="MS Gothic" w:hAnsi="MS Gothic" w:hint="eastAsia"/>
              <w:color w:val="202124"/>
              <w:sz w:val="20"/>
              <w:szCs w:val="20"/>
              <w:shd w:val="clear" w:color="auto" w:fill="FFFFFF"/>
            </w:rPr>
            <w:t>☐</w:t>
          </w:r>
        </w:sdtContent>
      </w:sdt>
      <w:r>
        <w:rPr>
          <w:rFonts w:ascii="Roboto" w:hAnsi="Roboto"/>
          <w:color w:val="202124"/>
          <w:sz w:val="20"/>
          <w:szCs w:val="20"/>
          <w:shd w:val="clear" w:color="auto" w:fill="FFFFFF"/>
        </w:rPr>
        <w:t xml:space="preserve"> </w:t>
      </w:r>
      <w:r w:rsidRPr="002B5989">
        <w:rPr>
          <w:rFonts w:ascii="Roboto" w:hAnsi="Roboto"/>
          <w:color w:val="202124"/>
          <w:sz w:val="20"/>
          <w:szCs w:val="20"/>
          <w:shd w:val="clear" w:color="auto" w:fill="FFFFFF"/>
        </w:rPr>
        <w:t>allega organigramma</w:t>
      </w:r>
      <w:r>
        <w:rPr>
          <w:rFonts w:ascii="Roboto" w:hAnsi="Roboto"/>
          <w:color w:val="202124"/>
          <w:sz w:val="20"/>
          <w:szCs w:val="20"/>
          <w:shd w:val="clear" w:color="auto" w:fill="FFFFFF"/>
        </w:rPr>
        <w:t xml:space="preserve"> e dichiarazione in merito nella busta amministrativa.</w:t>
      </w:r>
    </w:p>
    <w:p w14:paraId="14214076" w14:textId="7DE6F2C7" w:rsidR="008C31D8" w:rsidRDefault="008C31D8" w:rsidP="003B5C7B">
      <w:pPr>
        <w:ind w:right="-3"/>
        <w:jc w:val="both"/>
        <w:rPr>
          <w:rFonts w:ascii="Roboto" w:hAnsi="Roboto"/>
          <w:color w:val="202124"/>
          <w:sz w:val="20"/>
          <w:szCs w:val="20"/>
          <w:shd w:val="clear" w:color="auto" w:fill="FFFFFF"/>
        </w:rPr>
      </w:pPr>
    </w:p>
    <w:p w14:paraId="111BC9C5" w14:textId="77777777" w:rsidR="008C31D8" w:rsidRPr="00AE0F22" w:rsidRDefault="008C31D8" w:rsidP="008C31D8">
      <w:pPr>
        <w:suppressAutoHyphens/>
        <w:overflowPunct w:val="0"/>
        <w:autoSpaceDE w:val="0"/>
        <w:autoSpaceDN w:val="0"/>
        <w:adjustRightInd w:val="0"/>
        <w:ind w:right="-3"/>
        <w:jc w:val="both"/>
        <w:textAlignment w:val="baseline"/>
        <w:rPr>
          <w:rFonts w:ascii="Arial" w:hAnsi="Arial" w:cs="Arial"/>
          <w:bCs/>
          <w:sz w:val="22"/>
          <w:szCs w:val="22"/>
        </w:rPr>
      </w:pPr>
      <w:r w:rsidRPr="00AE0F22">
        <w:rPr>
          <w:rFonts w:ascii="Arial" w:hAnsi="Arial" w:cs="Arial"/>
          <w:bCs/>
          <w:sz w:val="22"/>
          <w:szCs w:val="22"/>
        </w:rPr>
        <w:t>Tutti i requisiti devono essere posseduti alla data di scadenza di presentazione dell’offerta. In mancanza il concorrente verrà escluso. In caso di raggruppamento temporaneo di imprese, le ulteriori dichiarazioni dovranno essere presentate da ogni singola impresa riunita.</w:t>
      </w:r>
    </w:p>
    <w:p w14:paraId="2BDDFA9C" w14:textId="77777777" w:rsidR="008C31D8" w:rsidRPr="008E65CB" w:rsidRDefault="008C31D8" w:rsidP="003B5C7B">
      <w:pPr>
        <w:ind w:right="-3"/>
        <w:jc w:val="both"/>
        <w:rPr>
          <w:rFonts w:ascii="Arial" w:hAnsi="Arial" w:cs="Arial"/>
          <w:bCs/>
          <w:sz w:val="20"/>
          <w:szCs w:val="20"/>
          <w:lang w:eastAsia="x-none"/>
        </w:rPr>
      </w:pPr>
    </w:p>
    <w:p w14:paraId="0911D842" w14:textId="77777777" w:rsidR="00F64352" w:rsidRDefault="00F64352"/>
    <w:sectPr w:rsidR="00F64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A"/>
    <w:rsid w:val="003B5C7B"/>
    <w:rsid w:val="008C31D8"/>
    <w:rsid w:val="00A13E1A"/>
    <w:rsid w:val="00F64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C78"/>
  <w15:chartTrackingRefBased/>
  <w15:docId w15:val="{FFDFBA38-3CC1-41CC-BAF4-57F004A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C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Taschini</dc:creator>
  <cp:keywords/>
  <dc:description/>
  <cp:lastModifiedBy>Gabriele Taschini</cp:lastModifiedBy>
  <cp:revision>3</cp:revision>
  <dcterms:created xsi:type="dcterms:W3CDTF">2022-01-14T11:20:00Z</dcterms:created>
  <dcterms:modified xsi:type="dcterms:W3CDTF">2022-01-14T11:22:00Z</dcterms:modified>
</cp:coreProperties>
</file>